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1D0" w:rsidRPr="00C20D53" w:rsidRDefault="004C01D0" w:rsidP="00C20D53">
      <w:pPr>
        <w:shd w:val="clear" w:color="auto" w:fill="FFFFFF"/>
        <w:spacing w:line="480" w:lineRule="auto"/>
        <w:jc w:val="center"/>
        <w:rPr>
          <w:rFonts w:ascii="Times New Roman" w:eastAsia="Times New Roman" w:hAnsi="Times New Roman" w:cs="Times New Roman"/>
          <w:b/>
          <w:color w:val="252525"/>
          <w:sz w:val="24"/>
          <w:szCs w:val="24"/>
        </w:rPr>
      </w:pPr>
    </w:p>
    <w:p w:rsidR="004C01D0" w:rsidRPr="00C20D53" w:rsidRDefault="004C01D0" w:rsidP="00C20D53">
      <w:pPr>
        <w:shd w:val="clear" w:color="auto" w:fill="FFFFFF"/>
        <w:spacing w:line="480" w:lineRule="auto"/>
        <w:jc w:val="center"/>
        <w:rPr>
          <w:rFonts w:ascii="Times New Roman" w:eastAsia="Times New Roman" w:hAnsi="Times New Roman" w:cs="Times New Roman"/>
          <w:b/>
          <w:color w:val="252525"/>
          <w:sz w:val="24"/>
          <w:szCs w:val="24"/>
        </w:rPr>
      </w:pPr>
    </w:p>
    <w:p w:rsidR="004C01D0" w:rsidRPr="00C20D53" w:rsidRDefault="004C01D0" w:rsidP="00C20D53">
      <w:pPr>
        <w:shd w:val="clear" w:color="auto" w:fill="FFFFFF"/>
        <w:spacing w:line="480" w:lineRule="auto"/>
        <w:jc w:val="center"/>
        <w:rPr>
          <w:rFonts w:ascii="Times New Roman" w:eastAsia="Times New Roman" w:hAnsi="Times New Roman" w:cs="Times New Roman"/>
          <w:b/>
          <w:color w:val="252525"/>
          <w:sz w:val="24"/>
          <w:szCs w:val="24"/>
        </w:rPr>
      </w:pPr>
    </w:p>
    <w:p w:rsidR="004C01D0" w:rsidRPr="00C20D53" w:rsidRDefault="004C01D0" w:rsidP="00C20D53">
      <w:pPr>
        <w:shd w:val="clear" w:color="auto" w:fill="FFFFFF"/>
        <w:spacing w:line="480" w:lineRule="auto"/>
        <w:jc w:val="center"/>
        <w:rPr>
          <w:rFonts w:ascii="Times New Roman" w:eastAsia="Times New Roman" w:hAnsi="Times New Roman" w:cs="Times New Roman"/>
          <w:b/>
          <w:color w:val="252525"/>
          <w:sz w:val="24"/>
          <w:szCs w:val="24"/>
        </w:rPr>
      </w:pPr>
    </w:p>
    <w:p w:rsidR="00C91FE9" w:rsidRPr="00C20D53" w:rsidRDefault="00C91FE9" w:rsidP="00C20D53">
      <w:pPr>
        <w:spacing w:line="480" w:lineRule="auto"/>
        <w:ind w:firstLine="720"/>
        <w:jc w:val="center"/>
        <w:rPr>
          <w:rFonts w:ascii="Times New Roman" w:eastAsia="Times New Roman" w:hAnsi="Times New Roman" w:cs="Times New Roman"/>
          <w:color w:val="252525"/>
          <w:sz w:val="24"/>
          <w:szCs w:val="24"/>
        </w:rPr>
      </w:pPr>
    </w:p>
    <w:p w:rsidR="00C91FE9" w:rsidRPr="00C20D53" w:rsidRDefault="00C91FE9" w:rsidP="00C20D53">
      <w:pPr>
        <w:spacing w:line="480" w:lineRule="auto"/>
        <w:rPr>
          <w:rFonts w:ascii="Times New Roman" w:eastAsia="Times New Roman" w:hAnsi="Times New Roman" w:cs="Times New Roman"/>
          <w:color w:val="252525"/>
          <w:sz w:val="24"/>
          <w:szCs w:val="24"/>
        </w:rPr>
      </w:pPr>
    </w:p>
    <w:p w:rsidR="00C91FE9" w:rsidRPr="00C20D53" w:rsidRDefault="00C91FE9" w:rsidP="00C20D53">
      <w:pPr>
        <w:spacing w:line="480" w:lineRule="auto"/>
        <w:ind w:firstLine="720"/>
        <w:jc w:val="center"/>
        <w:rPr>
          <w:rFonts w:ascii="Times New Roman" w:eastAsia="Times New Roman" w:hAnsi="Times New Roman" w:cs="Times New Roman"/>
          <w:color w:val="252525"/>
          <w:sz w:val="24"/>
          <w:szCs w:val="24"/>
        </w:rPr>
      </w:pPr>
    </w:p>
    <w:p w:rsidR="005F72F0" w:rsidRPr="00C20D53" w:rsidRDefault="005F72F0" w:rsidP="00C20D53">
      <w:pPr>
        <w:spacing w:line="480" w:lineRule="auto"/>
        <w:ind w:firstLine="720"/>
        <w:jc w:val="center"/>
        <w:rPr>
          <w:rFonts w:ascii="Times New Roman" w:hAnsi="Times New Roman" w:cs="Times New Roman"/>
          <w:sz w:val="24"/>
          <w:szCs w:val="24"/>
        </w:rPr>
      </w:pPr>
      <w:r w:rsidRPr="00C20D53">
        <w:rPr>
          <w:rFonts w:ascii="Times New Roman" w:hAnsi="Times New Roman" w:cs="Times New Roman"/>
          <w:sz w:val="24"/>
          <w:szCs w:val="24"/>
        </w:rPr>
        <w:t>Competitive Compensation, Benefits, and Incentive Program</w:t>
      </w:r>
    </w:p>
    <w:p w:rsidR="005F53B8" w:rsidRPr="00C20D53" w:rsidRDefault="005F53B8" w:rsidP="00C20D53">
      <w:pPr>
        <w:spacing w:line="480" w:lineRule="auto"/>
        <w:ind w:firstLine="720"/>
        <w:jc w:val="center"/>
        <w:rPr>
          <w:rFonts w:ascii="Times New Roman" w:hAnsi="Times New Roman" w:cs="Times New Roman"/>
          <w:sz w:val="24"/>
          <w:szCs w:val="24"/>
        </w:rPr>
      </w:pPr>
      <w:r w:rsidRPr="00C20D53">
        <w:rPr>
          <w:rFonts w:ascii="Times New Roman" w:hAnsi="Times New Roman" w:cs="Times New Roman"/>
          <w:sz w:val="24"/>
          <w:szCs w:val="24"/>
        </w:rPr>
        <w:t>Program</w:t>
      </w:r>
    </w:p>
    <w:p w:rsidR="005F53B8" w:rsidRPr="00C20D53" w:rsidRDefault="005F53B8" w:rsidP="00C20D53">
      <w:pPr>
        <w:spacing w:line="480" w:lineRule="auto"/>
        <w:ind w:firstLine="720"/>
        <w:jc w:val="center"/>
        <w:rPr>
          <w:rFonts w:ascii="Times New Roman" w:hAnsi="Times New Roman" w:cs="Times New Roman"/>
          <w:sz w:val="24"/>
          <w:szCs w:val="24"/>
        </w:rPr>
      </w:pPr>
      <w:r w:rsidRPr="00C20D53">
        <w:rPr>
          <w:rFonts w:ascii="Times New Roman" w:hAnsi="Times New Roman" w:cs="Times New Roman"/>
          <w:sz w:val="24"/>
          <w:szCs w:val="24"/>
        </w:rPr>
        <w:t>Name</w:t>
      </w:r>
    </w:p>
    <w:p w:rsidR="005F53B8" w:rsidRPr="00C20D53" w:rsidRDefault="005F53B8" w:rsidP="00C20D53">
      <w:pPr>
        <w:spacing w:line="480" w:lineRule="auto"/>
        <w:ind w:firstLine="720"/>
        <w:jc w:val="center"/>
        <w:rPr>
          <w:rFonts w:ascii="Times New Roman" w:hAnsi="Times New Roman" w:cs="Times New Roman"/>
          <w:sz w:val="24"/>
          <w:szCs w:val="24"/>
        </w:rPr>
      </w:pPr>
      <w:r w:rsidRPr="00C20D53">
        <w:rPr>
          <w:rFonts w:ascii="Times New Roman" w:hAnsi="Times New Roman" w:cs="Times New Roman"/>
          <w:sz w:val="24"/>
          <w:szCs w:val="24"/>
        </w:rPr>
        <w:t>Institution</w:t>
      </w:r>
    </w:p>
    <w:p w:rsidR="005F53B8" w:rsidRPr="00C20D53" w:rsidRDefault="005F53B8" w:rsidP="00C20D53">
      <w:pPr>
        <w:spacing w:line="480" w:lineRule="auto"/>
        <w:ind w:firstLine="720"/>
        <w:jc w:val="center"/>
        <w:rPr>
          <w:rFonts w:ascii="Times New Roman" w:hAnsi="Times New Roman" w:cs="Times New Roman"/>
          <w:sz w:val="24"/>
          <w:szCs w:val="24"/>
        </w:rPr>
      </w:pPr>
      <w:r w:rsidRPr="00C20D53">
        <w:rPr>
          <w:rFonts w:ascii="Times New Roman" w:hAnsi="Times New Roman" w:cs="Times New Roman"/>
          <w:sz w:val="24"/>
          <w:szCs w:val="24"/>
        </w:rPr>
        <w:t>Date</w:t>
      </w:r>
    </w:p>
    <w:p w:rsidR="005F53B8" w:rsidRPr="00C20D53" w:rsidRDefault="005F53B8" w:rsidP="00C20D53">
      <w:pPr>
        <w:spacing w:line="480" w:lineRule="auto"/>
        <w:ind w:firstLine="720"/>
        <w:jc w:val="center"/>
        <w:rPr>
          <w:rFonts w:ascii="Times New Roman" w:hAnsi="Times New Roman" w:cs="Times New Roman"/>
          <w:sz w:val="24"/>
          <w:szCs w:val="24"/>
        </w:rPr>
      </w:pPr>
    </w:p>
    <w:p w:rsidR="005F53B8" w:rsidRPr="00C20D53" w:rsidRDefault="005F53B8" w:rsidP="00C20D53">
      <w:pPr>
        <w:spacing w:line="480" w:lineRule="auto"/>
        <w:ind w:firstLine="720"/>
        <w:jc w:val="center"/>
        <w:rPr>
          <w:rFonts w:ascii="Times New Roman" w:hAnsi="Times New Roman" w:cs="Times New Roman"/>
          <w:sz w:val="24"/>
          <w:szCs w:val="24"/>
        </w:rPr>
      </w:pPr>
    </w:p>
    <w:p w:rsidR="005F53B8" w:rsidRPr="00C20D53" w:rsidRDefault="005F53B8" w:rsidP="00BC6E46">
      <w:pPr>
        <w:spacing w:line="480" w:lineRule="auto"/>
        <w:rPr>
          <w:rFonts w:ascii="Times New Roman" w:hAnsi="Times New Roman" w:cs="Times New Roman"/>
          <w:sz w:val="24"/>
          <w:szCs w:val="24"/>
        </w:rPr>
      </w:pPr>
    </w:p>
    <w:p w:rsidR="00AB3B53" w:rsidRPr="00C20D53" w:rsidRDefault="00AB3B53" w:rsidP="00C20D53">
      <w:pPr>
        <w:spacing w:line="480" w:lineRule="auto"/>
        <w:ind w:firstLine="720"/>
        <w:jc w:val="center"/>
        <w:rPr>
          <w:rFonts w:ascii="Times New Roman" w:hAnsi="Times New Roman" w:cs="Times New Roman"/>
          <w:sz w:val="24"/>
          <w:szCs w:val="24"/>
        </w:rPr>
      </w:pPr>
      <w:r w:rsidRPr="00C20D53">
        <w:rPr>
          <w:rFonts w:ascii="Times New Roman" w:hAnsi="Times New Roman" w:cs="Times New Roman"/>
          <w:sz w:val="24"/>
          <w:szCs w:val="24"/>
        </w:rPr>
        <w:lastRenderedPageBreak/>
        <w:t>Competitive Compensation, Be</w:t>
      </w:r>
      <w:r w:rsidR="005F53B8" w:rsidRPr="00C20D53">
        <w:rPr>
          <w:rFonts w:ascii="Times New Roman" w:hAnsi="Times New Roman" w:cs="Times New Roman"/>
          <w:sz w:val="24"/>
          <w:szCs w:val="24"/>
        </w:rPr>
        <w:t>n</w:t>
      </w:r>
      <w:r w:rsidRPr="00C20D53">
        <w:rPr>
          <w:rFonts w:ascii="Times New Roman" w:hAnsi="Times New Roman" w:cs="Times New Roman"/>
          <w:sz w:val="24"/>
          <w:szCs w:val="24"/>
        </w:rPr>
        <w:t>efits, and Incentive Program</w:t>
      </w:r>
    </w:p>
    <w:p w:rsidR="00AB3B53" w:rsidRPr="00C20D53" w:rsidRDefault="00AB3B53" w:rsidP="00C20D53">
      <w:pPr>
        <w:spacing w:line="480" w:lineRule="auto"/>
        <w:ind w:firstLine="720"/>
        <w:jc w:val="center"/>
        <w:rPr>
          <w:rFonts w:ascii="Times New Roman" w:hAnsi="Times New Roman" w:cs="Times New Roman"/>
          <w:b/>
          <w:sz w:val="24"/>
          <w:szCs w:val="24"/>
        </w:rPr>
      </w:pPr>
      <w:r w:rsidRPr="00C20D53">
        <w:rPr>
          <w:rFonts w:ascii="Times New Roman" w:hAnsi="Times New Roman" w:cs="Times New Roman"/>
          <w:b/>
          <w:sz w:val="24"/>
          <w:szCs w:val="24"/>
        </w:rPr>
        <w:t>Overview</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The company's goal is to hire the best-qualified talent and retain productive and loyal employees. To attract and sustain them, the company must have a program that includes competitive compensation, incentives, and benefits packages. Compensation here represents the salary or money paid to employees for services provided. Incentives include special rewards and perks offered to employees for great work performance (Olson et al., 2018). Lastly, benefits include valuable considerations for employees such as paid leave and health insurance. This program aims to outline the compensation, benefits, and incentive options available for the company employees.</w:t>
      </w:r>
    </w:p>
    <w:p w:rsidR="00AB3B53" w:rsidRPr="00C20D53" w:rsidRDefault="00AB3B53" w:rsidP="00C20D53">
      <w:pPr>
        <w:spacing w:line="480" w:lineRule="auto"/>
        <w:ind w:firstLine="720"/>
        <w:jc w:val="center"/>
        <w:rPr>
          <w:rFonts w:ascii="Times New Roman" w:hAnsi="Times New Roman" w:cs="Times New Roman"/>
          <w:b/>
          <w:sz w:val="24"/>
          <w:szCs w:val="24"/>
        </w:rPr>
      </w:pPr>
      <w:r w:rsidRPr="00C20D53">
        <w:rPr>
          <w:rFonts w:ascii="Times New Roman" w:hAnsi="Times New Roman" w:cs="Times New Roman"/>
          <w:b/>
          <w:sz w:val="24"/>
          <w:szCs w:val="24"/>
        </w:rPr>
        <w:t>Competitive compensation</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This section will explain the reasons for a competitive employee compensation program, detail the compensation components, and how they are calculated. It also elaborates the company compensation plans and the benefits for developing a fair compensation plan for our employees. </w:t>
      </w:r>
    </w:p>
    <w:p w:rsidR="00AB3B53" w:rsidRPr="00C20D53" w:rsidRDefault="00AB3B53" w:rsidP="00C20D53">
      <w:pPr>
        <w:spacing w:line="480" w:lineRule="auto"/>
        <w:rPr>
          <w:rFonts w:ascii="Times New Roman" w:hAnsi="Times New Roman" w:cs="Times New Roman"/>
          <w:b/>
          <w:sz w:val="24"/>
          <w:szCs w:val="24"/>
        </w:rPr>
      </w:pPr>
      <w:r w:rsidRPr="00C20D53">
        <w:rPr>
          <w:rFonts w:ascii="Times New Roman" w:hAnsi="Times New Roman" w:cs="Times New Roman"/>
          <w:b/>
          <w:sz w:val="24"/>
          <w:szCs w:val="24"/>
        </w:rPr>
        <w:t>Description of Employee Compensation and its Components</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According to Berger &amp;Bergger (2020), employee compensation refers to the total amount of money an employee expects to get in exchange for services provided to an employer. A competitive compensation program aims to ensure that the company attracts, recruits, and retains top talent, enhances job performance, and improves job satisfaction. </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lastRenderedPageBreak/>
        <w:t xml:space="preserve">The two compensation components available for the company employees include a base pay component and a variable pay component. </w:t>
      </w:r>
    </w:p>
    <w:p w:rsidR="00AB3B53" w:rsidRPr="00C20D53" w:rsidRDefault="00AB3B53" w:rsidP="00C20D53">
      <w:pPr>
        <w:spacing w:line="480" w:lineRule="auto"/>
        <w:rPr>
          <w:rFonts w:ascii="Times New Roman" w:hAnsi="Times New Roman" w:cs="Times New Roman"/>
          <w:b/>
          <w:sz w:val="24"/>
          <w:szCs w:val="24"/>
        </w:rPr>
      </w:pPr>
      <w:r w:rsidRPr="00C20D53">
        <w:rPr>
          <w:rFonts w:ascii="Times New Roman" w:hAnsi="Times New Roman" w:cs="Times New Roman"/>
          <w:b/>
          <w:sz w:val="24"/>
          <w:szCs w:val="24"/>
        </w:rPr>
        <w:t xml:space="preserve">Base Pay component </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The base pay represents a standard compensation rate the employee will receive in exchange for services they provide to the company. It is the annual, monthly, or weekly salary calculated based on the hourly rate. This is the minimum pay the employee shall receive at the beginning of his or her employment. The base pay does not include other benefits, salary raises, or bonuses. As Berger &amp;Bergger (2020) notes, the base pay should not be mistaken with basic salary because the basic salary is an amount that initially starts at the base but increases gradually within predetermined timelines. </w:t>
      </w:r>
    </w:p>
    <w:p w:rsidR="00AB3B53" w:rsidRPr="00C20D53" w:rsidRDefault="00AB3B53" w:rsidP="00C20D53">
      <w:pPr>
        <w:spacing w:line="480" w:lineRule="auto"/>
        <w:rPr>
          <w:rFonts w:ascii="Times New Roman" w:hAnsi="Times New Roman" w:cs="Times New Roman"/>
          <w:b/>
          <w:sz w:val="24"/>
          <w:szCs w:val="24"/>
        </w:rPr>
      </w:pPr>
      <w:r w:rsidRPr="00C20D53">
        <w:rPr>
          <w:rFonts w:ascii="Times New Roman" w:hAnsi="Times New Roman" w:cs="Times New Roman"/>
          <w:b/>
          <w:sz w:val="24"/>
          <w:szCs w:val="24"/>
        </w:rPr>
        <w:t>Variable Pay Component</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The variable pay component shall form part of the employee compensation and be determined by employee performance. It shall be triggered when the employee reaches certain milestones as outlined in the performance management policies. The company's variable pay shall be in the form of commission and annual bonuses. </w:t>
      </w:r>
    </w:p>
    <w:p w:rsidR="00AB3B53" w:rsidRPr="00C20D53" w:rsidRDefault="00AB3B53" w:rsidP="00C20D53">
      <w:pPr>
        <w:spacing w:line="480" w:lineRule="auto"/>
        <w:jc w:val="center"/>
        <w:rPr>
          <w:rFonts w:ascii="Times New Roman" w:hAnsi="Times New Roman" w:cs="Times New Roman"/>
          <w:b/>
          <w:sz w:val="24"/>
          <w:szCs w:val="24"/>
        </w:rPr>
      </w:pPr>
      <w:r w:rsidRPr="00C20D53">
        <w:rPr>
          <w:rFonts w:ascii="Times New Roman" w:hAnsi="Times New Roman" w:cs="Times New Roman"/>
          <w:b/>
          <w:sz w:val="24"/>
          <w:szCs w:val="24"/>
        </w:rPr>
        <w:t>Incentives and Benefits</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In addition to base pay and variable pay, the company also provides other incentives and benefits to employees. Base pay and variable pay represent monetary compensations. On the other hand, incentives and benefits are non-monetary perks provided to employees for services offered to the company. They are designed to help the company attract, engage, and retain the </w:t>
      </w:r>
      <w:r w:rsidRPr="00C20D53">
        <w:rPr>
          <w:rFonts w:ascii="Times New Roman" w:hAnsi="Times New Roman" w:cs="Times New Roman"/>
          <w:sz w:val="24"/>
          <w:szCs w:val="24"/>
        </w:rPr>
        <w:lastRenderedPageBreak/>
        <w:t xml:space="preserve">best talent (Zaharee et al., 2018). Incentives typically represent rewards, while benefits shall be used in encouraging positive workforce behavior. The company incentives and benefits program </w:t>
      </w:r>
      <w:r w:rsidR="005F53B8" w:rsidRPr="00C20D53">
        <w:rPr>
          <w:rFonts w:ascii="Times New Roman" w:hAnsi="Times New Roman" w:cs="Times New Roman"/>
          <w:sz w:val="24"/>
          <w:szCs w:val="24"/>
        </w:rPr>
        <w:t>are</w:t>
      </w:r>
      <w:r w:rsidRPr="00C20D53">
        <w:rPr>
          <w:rFonts w:ascii="Times New Roman" w:hAnsi="Times New Roman" w:cs="Times New Roman"/>
          <w:sz w:val="24"/>
          <w:szCs w:val="24"/>
        </w:rPr>
        <w:t xml:space="preserve"> specifically designed to align employees' personal styles and desires with the company's values. </w:t>
      </w:r>
    </w:p>
    <w:p w:rsidR="00AB3B53" w:rsidRPr="00C20D53" w:rsidRDefault="00AB3B53" w:rsidP="00C20D53">
      <w:pPr>
        <w:spacing w:line="480" w:lineRule="auto"/>
        <w:rPr>
          <w:rFonts w:ascii="Times New Roman" w:hAnsi="Times New Roman" w:cs="Times New Roman"/>
          <w:b/>
          <w:sz w:val="24"/>
          <w:szCs w:val="24"/>
        </w:rPr>
      </w:pPr>
      <w:r w:rsidRPr="00C20D53">
        <w:rPr>
          <w:rFonts w:ascii="Times New Roman" w:hAnsi="Times New Roman" w:cs="Times New Roman"/>
          <w:b/>
          <w:sz w:val="24"/>
          <w:szCs w:val="24"/>
        </w:rPr>
        <w:t>Importance of Incentives and Benefits</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The company incentives and benefits are designed to boost the morale among employees and improve engagement scores. They ought to work because they are meant to influence human behavior. According to Lazear (2018), numerous studies have proved that rewarding employee for exemplary performance increases intrinsic motivation because they directly link an activity to a goal. When employees are rewarded frequently, they become more motivated to complete a particular activity or task. Research also shows that companies that apply incentives are more likely (79%) to achieve the organization's goals for which the incentives were offered (Fernandes, Ferreira &amp; Winters, 2018). Incentive programs can enhance employee performance and motivate employees to keep working for the company. As a result, the company is motivated to move beyond the once-a-year service awards embed employees into a culture of a day-to-day incentive program. The incentive program aims to improve the company's tangible sales and ensure employees are satisfied with the work. </w:t>
      </w:r>
    </w:p>
    <w:p w:rsidR="00AB3B53" w:rsidRPr="00C20D53" w:rsidRDefault="00AB3B53" w:rsidP="00C20D53">
      <w:pPr>
        <w:spacing w:line="480" w:lineRule="auto"/>
        <w:rPr>
          <w:rFonts w:ascii="Times New Roman" w:hAnsi="Times New Roman" w:cs="Times New Roman"/>
          <w:sz w:val="24"/>
          <w:szCs w:val="24"/>
        </w:rPr>
      </w:pPr>
      <w:r w:rsidRPr="00C20D53">
        <w:rPr>
          <w:rFonts w:ascii="Times New Roman" w:hAnsi="Times New Roman" w:cs="Times New Roman"/>
          <w:sz w:val="24"/>
          <w:szCs w:val="24"/>
        </w:rPr>
        <w:t>The company's benefits and incentive program will include the following;</w:t>
      </w:r>
    </w:p>
    <w:p w:rsidR="00AB3B53" w:rsidRPr="00C20D53" w:rsidRDefault="00AB3B53" w:rsidP="00C20D53">
      <w:pPr>
        <w:pStyle w:val="ListParagraph"/>
        <w:numPr>
          <w:ilvl w:val="0"/>
          <w:numId w:val="20"/>
        </w:numPr>
        <w:spacing w:before="0" w:beforeAutospacing="0" w:after="160" w:afterAutospacing="0" w:line="480" w:lineRule="auto"/>
        <w:rPr>
          <w:rFonts w:ascii="Times New Roman" w:hAnsi="Times New Roman" w:cs="Times New Roman"/>
          <w:b/>
          <w:sz w:val="24"/>
          <w:szCs w:val="24"/>
        </w:rPr>
      </w:pPr>
      <w:r w:rsidRPr="00C20D53">
        <w:rPr>
          <w:rFonts w:ascii="Times New Roman" w:hAnsi="Times New Roman" w:cs="Times New Roman"/>
          <w:b/>
          <w:sz w:val="24"/>
          <w:szCs w:val="24"/>
        </w:rPr>
        <w:t>Recognition and Rewards</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lastRenderedPageBreak/>
        <w:t>Recognition is very crucial for employees and more so for the marketing team. Appreciating the efforts of each one of them is essential because it motivates them to stay with the company. It is foundational to the company's incentive program because it forms part of its everyday life. The company shall recognize and rewards employees using social and monetary incentives. As Lazear (2018) notes, although money is crucial in people's lives, it is not always the only thing that matters. Sometimes social recognition carries more value to employees than tangible rewards. The company shall express recognition by congratulating exemplary performance in the presence of other employees either verbally or through other company communication channels.  On the other hand, rewarding shall take the form of awarding points and allow employees to redeem accumulated points in the form of gifts, merchandise, concierge, or experiences. The points will be linked with specific recognitions as set by the performance management policies.</w:t>
      </w:r>
    </w:p>
    <w:p w:rsidR="00AB3B53" w:rsidRPr="00C20D53" w:rsidRDefault="00AB3B53" w:rsidP="00C20D53">
      <w:pPr>
        <w:pStyle w:val="ListParagraph"/>
        <w:numPr>
          <w:ilvl w:val="0"/>
          <w:numId w:val="20"/>
        </w:numPr>
        <w:spacing w:before="0" w:beforeAutospacing="0" w:after="160" w:afterAutospacing="0" w:line="480" w:lineRule="auto"/>
        <w:rPr>
          <w:rFonts w:ascii="Times New Roman" w:hAnsi="Times New Roman" w:cs="Times New Roman"/>
          <w:b/>
          <w:sz w:val="24"/>
          <w:szCs w:val="24"/>
        </w:rPr>
      </w:pPr>
      <w:r w:rsidRPr="00C20D53">
        <w:rPr>
          <w:rFonts w:ascii="Times New Roman" w:hAnsi="Times New Roman" w:cs="Times New Roman"/>
          <w:b/>
          <w:sz w:val="24"/>
          <w:szCs w:val="24"/>
        </w:rPr>
        <w:t xml:space="preserve">Referral Program </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The company shall reward performing and qualified employees by considering them for internal vacant positions. Instead of spending a lot of time sourcing applications, the human resource department tracks and maintains a list of candidates ready for promotion. At the same time, the department shall consult with employees for referrals. Giving this opportunity to the company employees ensures loyalty because employees feel valued and help the company recruit personnel who fit the company's culture.  </w:t>
      </w:r>
    </w:p>
    <w:p w:rsidR="00AB3B53" w:rsidRPr="00C20D53" w:rsidRDefault="00AB3B53" w:rsidP="00C20D53">
      <w:pPr>
        <w:pStyle w:val="ListParagraph"/>
        <w:numPr>
          <w:ilvl w:val="0"/>
          <w:numId w:val="20"/>
        </w:numPr>
        <w:spacing w:before="0" w:beforeAutospacing="0" w:after="160" w:afterAutospacing="0" w:line="480" w:lineRule="auto"/>
        <w:rPr>
          <w:rFonts w:ascii="Times New Roman" w:hAnsi="Times New Roman" w:cs="Times New Roman"/>
          <w:b/>
          <w:sz w:val="24"/>
          <w:szCs w:val="24"/>
        </w:rPr>
      </w:pPr>
      <w:r w:rsidRPr="00C20D53">
        <w:rPr>
          <w:rFonts w:ascii="Times New Roman" w:hAnsi="Times New Roman" w:cs="Times New Roman"/>
          <w:b/>
          <w:sz w:val="24"/>
          <w:szCs w:val="24"/>
        </w:rPr>
        <w:t>Professional Development</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lastRenderedPageBreak/>
        <w:t xml:space="preserve">Most employees who work in organizations with limited development opportunities are more likely to leave within five years (Fernandes, Ferreira &amp; Winters, 2018). Development is crucial for the company employees. The company shall create a learning and development program or hire an external third-party training and learning management system provider. </w:t>
      </w:r>
    </w:p>
    <w:p w:rsidR="00AB3B53" w:rsidRPr="00C20D53" w:rsidRDefault="00AB3B53" w:rsidP="00C20D53">
      <w:pPr>
        <w:pStyle w:val="ListParagraph"/>
        <w:numPr>
          <w:ilvl w:val="0"/>
          <w:numId w:val="20"/>
        </w:numPr>
        <w:spacing w:before="0" w:beforeAutospacing="0" w:after="160" w:afterAutospacing="0" w:line="480" w:lineRule="auto"/>
        <w:rPr>
          <w:rFonts w:ascii="Times New Roman" w:hAnsi="Times New Roman" w:cs="Times New Roman"/>
          <w:b/>
          <w:sz w:val="24"/>
          <w:szCs w:val="24"/>
        </w:rPr>
      </w:pPr>
      <w:r w:rsidRPr="00C20D53">
        <w:rPr>
          <w:rFonts w:ascii="Times New Roman" w:hAnsi="Times New Roman" w:cs="Times New Roman"/>
          <w:b/>
          <w:sz w:val="24"/>
          <w:szCs w:val="24"/>
        </w:rPr>
        <w:t>Sharing Profits</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The company shall create a profit-sharing plan to supplement the traditional 401k plan. Employees shall receive a certain percentage (set by the board of directors during annual general meetings) of the company profits as contributions to their retirement plans. The profit-sharing incentive aims to enhance employees' perception as part owners of the company to improve loyalty and productivity (Zaharee et al., 2018). </w:t>
      </w:r>
    </w:p>
    <w:p w:rsidR="00AB3B53" w:rsidRPr="00C20D53" w:rsidRDefault="00AB3B53" w:rsidP="00C20D53">
      <w:pPr>
        <w:pStyle w:val="ListParagraph"/>
        <w:numPr>
          <w:ilvl w:val="0"/>
          <w:numId w:val="20"/>
        </w:numPr>
        <w:spacing w:before="0" w:beforeAutospacing="0" w:after="160" w:afterAutospacing="0" w:line="480" w:lineRule="auto"/>
        <w:rPr>
          <w:rFonts w:ascii="Times New Roman" w:hAnsi="Times New Roman" w:cs="Times New Roman"/>
          <w:b/>
          <w:sz w:val="24"/>
          <w:szCs w:val="24"/>
        </w:rPr>
      </w:pPr>
      <w:r w:rsidRPr="00C20D53">
        <w:rPr>
          <w:rFonts w:ascii="Times New Roman" w:hAnsi="Times New Roman" w:cs="Times New Roman"/>
          <w:b/>
          <w:sz w:val="24"/>
          <w:szCs w:val="24"/>
        </w:rPr>
        <w:t xml:space="preserve">Health and Wellness </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Employees cannot optimally perform when they are frequently unwell. The health incentive is imperative for the company to prevent employee burnout while promoting mental and physical health. The company shall conduct frequent wellness fairs annually that promote healthy living among employees. A medical insurance program shall also be implemented to ensure employees can access healthcare services anytime they want to. The amount of medical insurance cover for each employee is determined by the job position and pay grade. Another company's insurance incentive includes death, disability, accident, and dismemberment while executing duties. </w:t>
      </w:r>
    </w:p>
    <w:p w:rsidR="00AB3B53" w:rsidRPr="00C20D53" w:rsidRDefault="00AB3B53" w:rsidP="00C20D53">
      <w:pPr>
        <w:pStyle w:val="ListParagraph"/>
        <w:numPr>
          <w:ilvl w:val="0"/>
          <w:numId w:val="20"/>
        </w:numPr>
        <w:spacing w:before="0" w:beforeAutospacing="0" w:after="160" w:afterAutospacing="0" w:line="480" w:lineRule="auto"/>
        <w:rPr>
          <w:rFonts w:ascii="Times New Roman" w:hAnsi="Times New Roman" w:cs="Times New Roman"/>
          <w:b/>
          <w:sz w:val="24"/>
          <w:szCs w:val="24"/>
        </w:rPr>
      </w:pPr>
      <w:r w:rsidRPr="00C20D53">
        <w:rPr>
          <w:rFonts w:ascii="Times New Roman" w:hAnsi="Times New Roman" w:cs="Times New Roman"/>
          <w:b/>
          <w:sz w:val="24"/>
          <w:szCs w:val="24"/>
        </w:rPr>
        <w:t xml:space="preserve">Tuition Reimbursement </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lastRenderedPageBreak/>
        <w:t xml:space="preserve">Ongoing education is a priority for employees nowadays. The company shall provide full tuition reimbursement to attract top talent and ensure it has an adequate pool of qualified workforce for internal promotions. </w:t>
      </w:r>
    </w:p>
    <w:p w:rsidR="00AB3B53" w:rsidRPr="00C20D53" w:rsidRDefault="00AB3B53" w:rsidP="00C20D53">
      <w:pPr>
        <w:pStyle w:val="ListParagraph"/>
        <w:numPr>
          <w:ilvl w:val="0"/>
          <w:numId w:val="20"/>
        </w:numPr>
        <w:spacing w:before="0" w:beforeAutospacing="0" w:after="160" w:afterAutospacing="0" w:line="480" w:lineRule="auto"/>
        <w:rPr>
          <w:rFonts w:ascii="Times New Roman" w:hAnsi="Times New Roman" w:cs="Times New Roman"/>
          <w:b/>
          <w:sz w:val="24"/>
          <w:szCs w:val="24"/>
        </w:rPr>
      </w:pPr>
      <w:r w:rsidRPr="00C20D53">
        <w:rPr>
          <w:rFonts w:ascii="Times New Roman" w:hAnsi="Times New Roman" w:cs="Times New Roman"/>
          <w:b/>
          <w:sz w:val="24"/>
          <w:szCs w:val="24"/>
        </w:rPr>
        <w:t>Bonuses and Salary Raises</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As a marketing company, providing bonuses annually is crucial in motivating and retaining productive staff. Bonuses and pay rises shall be implemented as per the performance management guidelines.  </w:t>
      </w:r>
    </w:p>
    <w:p w:rsidR="00AB3B53" w:rsidRPr="00C20D53" w:rsidRDefault="00AB3B53" w:rsidP="00C20D53">
      <w:pPr>
        <w:spacing w:line="480" w:lineRule="auto"/>
        <w:ind w:firstLine="720"/>
        <w:jc w:val="center"/>
        <w:rPr>
          <w:rFonts w:ascii="Times New Roman" w:hAnsi="Times New Roman" w:cs="Times New Roman"/>
          <w:b/>
          <w:sz w:val="24"/>
          <w:szCs w:val="24"/>
        </w:rPr>
      </w:pPr>
      <w:r w:rsidRPr="00C20D53">
        <w:rPr>
          <w:rFonts w:ascii="Times New Roman" w:hAnsi="Times New Roman" w:cs="Times New Roman"/>
          <w:b/>
          <w:sz w:val="24"/>
          <w:szCs w:val="24"/>
        </w:rPr>
        <w:t>Compensation Plan</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t xml:space="preserve">A compensation plan is an all-inclusive employee compensation package that includes various compensation components. Direct compensation criteria include the base pay and variable pay components, i.e., salaries, bonuses, commissions, and other benefits. The compensation plan is crucial because it outlines what the company offers to employees and promotes competitiveness in the market (Olson et al., 2018). The total compensation for each employee shall be calculated by summing up the primary components of the employee compensation plan. It represents the total value of the worker's compensation package.  Besides, important for the company to establish a fair compensation plan. A fair compensation plan is defined objectively to create a unified system founded on some clear standards. The compensation plan for the company is therefore designed and implemented without any favor of prejudice. At the same time, it is simple and flexible enough to accommodate any necessary changes in the future.  </w:t>
      </w:r>
    </w:p>
    <w:p w:rsidR="00AB3B53" w:rsidRPr="00C20D53" w:rsidRDefault="00AB3B53" w:rsidP="00C20D53">
      <w:pPr>
        <w:spacing w:line="480" w:lineRule="auto"/>
        <w:ind w:firstLine="720"/>
        <w:rPr>
          <w:rFonts w:ascii="Times New Roman" w:hAnsi="Times New Roman" w:cs="Times New Roman"/>
          <w:sz w:val="24"/>
          <w:szCs w:val="24"/>
        </w:rPr>
      </w:pPr>
      <w:r w:rsidRPr="00C20D53">
        <w:rPr>
          <w:rFonts w:ascii="Times New Roman" w:hAnsi="Times New Roman" w:cs="Times New Roman"/>
          <w:sz w:val="24"/>
          <w:szCs w:val="24"/>
        </w:rPr>
        <w:lastRenderedPageBreak/>
        <w:t xml:space="preserve">According to the equity theory, a fair compensation plan should be based on the job description, analysis, and evaluation to ensure both external and internal equity (Lazear, 2018). Internal equity is portrayed by employee perception when comparing their compensation package with those received by colleagues. On the other hand, external equity is characterized by how employees perceive the company's compensation package compared to what other companies offer in similar positions. </w:t>
      </w:r>
    </w:p>
    <w:p w:rsidR="00AB3B53" w:rsidRPr="00C20D53" w:rsidRDefault="00AB3B53" w:rsidP="00C20D53">
      <w:pPr>
        <w:spacing w:line="480" w:lineRule="auto"/>
        <w:rPr>
          <w:rFonts w:ascii="Times New Roman" w:hAnsi="Times New Roman" w:cs="Times New Roman"/>
          <w:b/>
          <w:sz w:val="24"/>
          <w:szCs w:val="24"/>
        </w:rPr>
      </w:pPr>
      <w:r w:rsidRPr="00C20D53">
        <w:rPr>
          <w:rFonts w:ascii="Times New Roman" w:hAnsi="Times New Roman" w:cs="Times New Roman"/>
          <w:b/>
          <w:sz w:val="24"/>
          <w:szCs w:val="24"/>
        </w:rPr>
        <w:t xml:space="preserve">Benefits of a Fair Compensation plan </w:t>
      </w:r>
    </w:p>
    <w:p w:rsidR="00AB3B53" w:rsidRPr="00C20D53" w:rsidRDefault="00AB3B53" w:rsidP="00C20D53">
      <w:pPr>
        <w:pStyle w:val="ListParagraph"/>
        <w:numPr>
          <w:ilvl w:val="0"/>
          <w:numId w:val="19"/>
        </w:numPr>
        <w:spacing w:before="0" w:beforeAutospacing="0" w:after="160" w:afterAutospacing="0" w:line="480" w:lineRule="auto"/>
        <w:rPr>
          <w:rFonts w:ascii="Times New Roman" w:hAnsi="Times New Roman" w:cs="Times New Roman"/>
          <w:sz w:val="24"/>
          <w:szCs w:val="24"/>
        </w:rPr>
      </w:pPr>
      <w:r w:rsidRPr="00C20D53">
        <w:rPr>
          <w:rFonts w:ascii="Times New Roman" w:hAnsi="Times New Roman" w:cs="Times New Roman"/>
          <w:sz w:val="24"/>
          <w:szCs w:val="24"/>
        </w:rPr>
        <w:t>It plays a crucial role in attracting top talent using market-competitive compensation packages.</w:t>
      </w:r>
    </w:p>
    <w:p w:rsidR="00AB3B53" w:rsidRPr="00C20D53" w:rsidRDefault="00AB3B53" w:rsidP="00C20D53">
      <w:pPr>
        <w:pStyle w:val="ListParagraph"/>
        <w:numPr>
          <w:ilvl w:val="0"/>
          <w:numId w:val="19"/>
        </w:numPr>
        <w:spacing w:before="0" w:beforeAutospacing="0" w:after="160" w:afterAutospacing="0" w:line="480" w:lineRule="auto"/>
        <w:rPr>
          <w:rFonts w:ascii="Times New Roman" w:hAnsi="Times New Roman" w:cs="Times New Roman"/>
          <w:sz w:val="24"/>
          <w:szCs w:val="24"/>
        </w:rPr>
      </w:pPr>
      <w:r w:rsidRPr="00C20D53">
        <w:rPr>
          <w:rFonts w:ascii="Times New Roman" w:hAnsi="Times New Roman" w:cs="Times New Roman"/>
          <w:sz w:val="24"/>
          <w:szCs w:val="24"/>
        </w:rPr>
        <w:t>It demonstrates how the company values its employees</w:t>
      </w:r>
    </w:p>
    <w:p w:rsidR="00AB3B53" w:rsidRPr="00C20D53" w:rsidRDefault="00AB3B53" w:rsidP="00C20D53">
      <w:pPr>
        <w:pStyle w:val="ListParagraph"/>
        <w:numPr>
          <w:ilvl w:val="0"/>
          <w:numId w:val="19"/>
        </w:numPr>
        <w:spacing w:before="0" w:beforeAutospacing="0" w:after="160" w:afterAutospacing="0" w:line="480" w:lineRule="auto"/>
        <w:rPr>
          <w:rFonts w:ascii="Times New Roman" w:hAnsi="Times New Roman" w:cs="Times New Roman"/>
          <w:sz w:val="24"/>
          <w:szCs w:val="24"/>
        </w:rPr>
      </w:pPr>
      <w:r w:rsidRPr="00C20D53">
        <w:rPr>
          <w:rFonts w:ascii="Times New Roman" w:hAnsi="Times New Roman" w:cs="Times New Roman"/>
          <w:sz w:val="24"/>
          <w:szCs w:val="24"/>
        </w:rPr>
        <w:t xml:space="preserve">It helps boost employee morale and motivate them to work harder </w:t>
      </w:r>
    </w:p>
    <w:p w:rsidR="00AB3B53" w:rsidRPr="00C20D53" w:rsidRDefault="00AB3B53" w:rsidP="00C20D53">
      <w:pPr>
        <w:pStyle w:val="ListParagraph"/>
        <w:numPr>
          <w:ilvl w:val="0"/>
          <w:numId w:val="19"/>
        </w:numPr>
        <w:spacing w:before="0" w:beforeAutospacing="0" w:after="160" w:afterAutospacing="0" w:line="480" w:lineRule="auto"/>
        <w:rPr>
          <w:rFonts w:ascii="Times New Roman" w:hAnsi="Times New Roman" w:cs="Times New Roman"/>
          <w:sz w:val="24"/>
          <w:szCs w:val="24"/>
        </w:rPr>
      </w:pPr>
      <w:r w:rsidRPr="00C20D53">
        <w:rPr>
          <w:rFonts w:ascii="Times New Roman" w:hAnsi="Times New Roman" w:cs="Times New Roman"/>
          <w:sz w:val="24"/>
          <w:szCs w:val="24"/>
        </w:rPr>
        <w:t>It reduces pay discrimination and promotes employee cooperation across all company levels</w:t>
      </w:r>
    </w:p>
    <w:p w:rsidR="00AB3B53" w:rsidRPr="00C20D53" w:rsidRDefault="00AB3B53" w:rsidP="00C20D53">
      <w:pPr>
        <w:pStyle w:val="ListParagraph"/>
        <w:numPr>
          <w:ilvl w:val="0"/>
          <w:numId w:val="19"/>
        </w:numPr>
        <w:spacing w:before="0" w:beforeAutospacing="0" w:after="160" w:afterAutospacing="0" w:line="480" w:lineRule="auto"/>
        <w:rPr>
          <w:rFonts w:ascii="Times New Roman" w:hAnsi="Times New Roman" w:cs="Times New Roman"/>
          <w:sz w:val="24"/>
          <w:szCs w:val="24"/>
        </w:rPr>
      </w:pPr>
      <w:r w:rsidRPr="00C20D53">
        <w:rPr>
          <w:rFonts w:ascii="Times New Roman" w:hAnsi="Times New Roman" w:cs="Times New Roman"/>
          <w:sz w:val="24"/>
          <w:szCs w:val="24"/>
        </w:rPr>
        <w:t>It improves employee satisfaction which enhances employee retention</w:t>
      </w:r>
    </w:p>
    <w:p w:rsidR="00AB3B53" w:rsidRPr="00C20D53" w:rsidRDefault="00AB3B53" w:rsidP="00C20D53">
      <w:pPr>
        <w:pStyle w:val="ListParagraph"/>
        <w:numPr>
          <w:ilvl w:val="0"/>
          <w:numId w:val="19"/>
        </w:numPr>
        <w:spacing w:before="0" w:beforeAutospacing="0" w:after="160" w:afterAutospacing="0" w:line="480" w:lineRule="auto"/>
        <w:rPr>
          <w:rFonts w:ascii="Times New Roman" w:hAnsi="Times New Roman" w:cs="Times New Roman"/>
          <w:sz w:val="24"/>
          <w:szCs w:val="24"/>
        </w:rPr>
      </w:pPr>
      <w:r w:rsidRPr="00C20D53">
        <w:rPr>
          <w:rFonts w:ascii="Times New Roman" w:hAnsi="Times New Roman" w:cs="Times New Roman"/>
          <w:sz w:val="24"/>
          <w:szCs w:val="24"/>
        </w:rPr>
        <w:t>It becomes easy and less cumbersome for the human resource department to implement across cutting compensation systems covering</w:t>
      </w:r>
    </w:p>
    <w:p w:rsidR="00AB3B53" w:rsidRPr="00C20D53" w:rsidRDefault="00AB3B53" w:rsidP="00C20D53">
      <w:pPr>
        <w:spacing w:line="480" w:lineRule="auto"/>
        <w:rPr>
          <w:rFonts w:ascii="Times New Roman" w:hAnsi="Times New Roman" w:cs="Times New Roman"/>
          <w:color w:val="222222"/>
          <w:sz w:val="24"/>
          <w:szCs w:val="24"/>
          <w:shd w:val="clear" w:color="auto" w:fill="FFFFFF"/>
        </w:rPr>
      </w:pPr>
    </w:p>
    <w:p w:rsidR="00AB3B53" w:rsidRPr="00C20D53" w:rsidRDefault="00AB3B53" w:rsidP="00C20D53">
      <w:pPr>
        <w:spacing w:line="480" w:lineRule="auto"/>
        <w:jc w:val="center"/>
        <w:rPr>
          <w:rFonts w:ascii="Times New Roman" w:hAnsi="Times New Roman" w:cs="Times New Roman"/>
          <w:color w:val="222222"/>
          <w:sz w:val="24"/>
          <w:szCs w:val="24"/>
          <w:shd w:val="clear" w:color="auto" w:fill="FFFFFF"/>
        </w:rPr>
      </w:pPr>
      <w:r w:rsidRPr="00C20D53">
        <w:rPr>
          <w:rFonts w:ascii="Times New Roman" w:hAnsi="Times New Roman" w:cs="Times New Roman"/>
          <w:color w:val="222222"/>
          <w:sz w:val="24"/>
          <w:szCs w:val="24"/>
          <w:shd w:val="clear" w:color="auto" w:fill="FFFFFF"/>
        </w:rPr>
        <w:br w:type="page"/>
      </w:r>
    </w:p>
    <w:p w:rsidR="00AB3B53" w:rsidRPr="00C20D53" w:rsidRDefault="00AB3B53" w:rsidP="00C20D53">
      <w:pPr>
        <w:spacing w:line="480" w:lineRule="auto"/>
        <w:jc w:val="center"/>
        <w:rPr>
          <w:rFonts w:ascii="Times New Roman" w:hAnsi="Times New Roman" w:cs="Times New Roman"/>
          <w:b/>
          <w:color w:val="222222"/>
          <w:sz w:val="24"/>
          <w:szCs w:val="24"/>
          <w:shd w:val="clear" w:color="auto" w:fill="FFFFFF"/>
        </w:rPr>
      </w:pPr>
      <w:r w:rsidRPr="00C20D53">
        <w:rPr>
          <w:rFonts w:ascii="Times New Roman" w:hAnsi="Times New Roman" w:cs="Times New Roman"/>
          <w:b/>
          <w:color w:val="222222"/>
          <w:sz w:val="24"/>
          <w:szCs w:val="24"/>
          <w:shd w:val="clear" w:color="auto" w:fill="FFFFFF"/>
        </w:rPr>
        <w:lastRenderedPageBreak/>
        <w:t>References</w:t>
      </w:r>
    </w:p>
    <w:p w:rsidR="00AB3B53" w:rsidRPr="00C20D53" w:rsidRDefault="00AB3B53" w:rsidP="00C20D53">
      <w:pPr>
        <w:spacing w:line="480" w:lineRule="auto"/>
        <w:ind w:left="720" w:hanging="720"/>
        <w:rPr>
          <w:rFonts w:ascii="Times New Roman" w:hAnsi="Times New Roman" w:cs="Times New Roman"/>
          <w:color w:val="222222"/>
          <w:sz w:val="24"/>
          <w:szCs w:val="24"/>
          <w:shd w:val="clear" w:color="auto" w:fill="FFFFFF"/>
        </w:rPr>
      </w:pPr>
      <w:r w:rsidRPr="00C20D53">
        <w:rPr>
          <w:rFonts w:ascii="Times New Roman" w:hAnsi="Times New Roman" w:cs="Times New Roman"/>
          <w:color w:val="222222"/>
          <w:sz w:val="24"/>
          <w:szCs w:val="24"/>
          <w:shd w:val="clear" w:color="auto" w:fill="FFFFFF"/>
        </w:rPr>
        <w:t>Berger, L. A., &amp;Bergger, D. R. (2020). </w:t>
      </w:r>
      <w:r w:rsidRPr="00C20D53">
        <w:rPr>
          <w:rFonts w:ascii="Times New Roman" w:hAnsi="Times New Roman" w:cs="Times New Roman"/>
          <w:i/>
          <w:iCs/>
          <w:color w:val="222222"/>
          <w:sz w:val="24"/>
          <w:szCs w:val="24"/>
          <w:shd w:val="clear" w:color="auto" w:fill="FFFFFF"/>
        </w:rPr>
        <w:t>The compensation handbook. A state-of-the-art guide to compensation strategy and design</w:t>
      </w:r>
      <w:r w:rsidRPr="00C20D53">
        <w:rPr>
          <w:rFonts w:ascii="Times New Roman" w:hAnsi="Times New Roman" w:cs="Times New Roman"/>
          <w:color w:val="222222"/>
          <w:sz w:val="24"/>
          <w:szCs w:val="24"/>
          <w:shd w:val="clear" w:color="auto" w:fill="FFFFFF"/>
        </w:rPr>
        <w:t>.</w:t>
      </w:r>
    </w:p>
    <w:p w:rsidR="00AB3B53" w:rsidRPr="00C20D53" w:rsidRDefault="00AB3B53" w:rsidP="00C20D53">
      <w:pPr>
        <w:spacing w:line="480" w:lineRule="auto"/>
        <w:ind w:left="720" w:hanging="720"/>
        <w:rPr>
          <w:rFonts w:ascii="Times New Roman" w:hAnsi="Times New Roman" w:cs="Times New Roman"/>
          <w:color w:val="222222"/>
          <w:sz w:val="24"/>
          <w:szCs w:val="24"/>
          <w:shd w:val="clear" w:color="auto" w:fill="FFFFFF"/>
        </w:rPr>
      </w:pPr>
      <w:r w:rsidRPr="00C20D53">
        <w:rPr>
          <w:rFonts w:ascii="Times New Roman" w:hAnsi="Times New Roman" w:cs="Times New Roman"/>
          <w:color w:val="222222"/>
          <w:sz w:val="24"/>
          <w:szCs w:val="24"/>
          <w:shd w:val="clear" w:color="auto" w:fill="FFFFFF"/>
        </w:rPr>
        <w:t>Fernandes, A. P., Ferreira, P., &amp;Winters, L. A. (2018). The effect of competition on executive compensation and incentives evidence from a quasi-natural experiment. </w:t>
      </w:r>
      <w:r w:rsidRPr="00C20D53">
        <w:rPr>
          <w:rFonts w:ascii="Times New Roman" w:hAnsi="Times New Roman" w:cs="Times New Roman"/>
          <w:i/>
          <w:iCs/>
          <w:color w:val="222222"/>
          <w:sz w:val="24"/>
          <w:szCs w:val="24"/>
          <w:shd w:val="clear" w:color="auto" w:fill="FFFFFF"/>
        </w:rPr>
        <w:t>Journal of Human Resources</w:t>
      </w:r>
      <w:r w:rsidRPr="00C20D53">
        <w:rPr>
          <w:rFonts w:ascii="Times New Roman" w:hAnsi="Times New Roman" w:cs="Times New Roman"/>
          <w:color w:val="222222"/>
          <w:sz w:val="24"/>
          <w:szCs w:val="24"/>
          <w:shd w:val="clear" w:color="auto" w:fill="FFFFFF"/>
        </w:rPr>
        <w:t>, </w:t>
      </w:r>
      <w:r w:rsidRPr="00C20D53">
        <w:rPr>
          <w:rFonts w:ascii="Times New Roman" w:hAnsi="Times New Roman" w:cs="Times New Roman"/>
          <w:i/>
          <w:iCs/>
          <w:color w:val="222222"/>
          <w:sz w:val="24"/>
          <w:szCs w:val="24"/>
          <w:shd w:val="clear" w:color="auto" w:fill="FFFFFF"/>
        </w:rPr>
        <w:t>53</w:t>
      </w:r>
      <w:r w:rsidRPr="00C20D53">
        <w:rPr>
          <w:rFonts w:ascii="Times New Roman" w:hAnsi="Times New Roman" w:cs="Times New Roman"/>
          <w:color w:val="222222"/>
          <w:sz w:val="24"/>
          <w:szCs w:val="24"/>
          <w:shd w:val="clear" w:color="auto" w:fill="FFFFFF"/>
        </w:rPr>
        <w:t>(3), 783-824.</w:t>
      </w:r>
    </w:p>
    <w:p w:rsidR="00AB3B53" w:rsidRPr="00C20D53" w:rsidRDefault="00AB3B53" w:rsidP="00C20D53">
      <w:pPr>
        <w:spacing w:line="480" w:lineRule="auto"/>
        <w:ind w:left="720" w:hanging="720"/>
        <w:rPr>
          <w:rFonts w:ascii="Times New Roman" w:hAnsi="Times New Roman" w:cs="Times New Roman"/>
          <w:color w:val="222222"/>
          <w:sz w:val="24"/>
          <w:szCs w:val="24"/>
          <w:shd w:val="clear" w:color="auto" w:fill="FFFFFF"/>
        </w:rPr>
      </w:pPr>
      <w:r w:rsidRPr="00C20D53">
        <w:rPr>
          <w:rFonts w:ascii="Times New Roman" w:hAnsi="Times New Roman" w:cs="Times New Roman"/>
          <w:color w:val="222222"/>
          <w:sz w:val="24"/>
          <w:szCs w:val="24"/>
          <w:shd w:val="clear" w:color="auto" w:fill="FFFFFF"/>
        </w:rPr>
        <w:t>Lazear, E. P. (2018). Compensation and Incentives in the Workplace. </w:t>
      </w:r>
      <w:r w:rsidRPr="00C20D53">
        <w:rPr>
          <w:rFonts w:ascii="Times New Roman" w:hAnsi="Times New Roman" w:cs="Times New Roman"/>
          <w:i/>
          <w:iCs/>
          <w:color w:val="222222"/>
          <w:sz w:val="24"/>
          <w:szCs w:val="24"/>
          <w:shd w:val="clear" w:color="auto" w:fill="FFFFFF"/>
        </w:rPr>
        <w:t>Journal of Economic Perspectives</w:t>
      </w:r>
      <w:r w:rsidRPr="00C20D53">
        <w:rPr>
          <w:rFonts w:ascii="Times New Roman" w:hAnsi="Times New Roman" w:cs="Times New Roman"/>
          <w:color w:val="222222"/>
          <w:sz w:val="24"/>
          <w:szCs w:val="24"/>
          <w:shd w:val="clear" w:color="auto" w:fill="FFFFFF"/>
        </w:rPr>
        <w:t>, </w:t>
      </w:r>
      <w:r w:rsidRPr="00C20D53">
        <w:rPr>
          <w:rFonts w:ascii="Times New Roman" w:hAnsi="Times New Roman" w:cs="Times New Roman"/>
          <w:i/>
          <w:iCs/>
          <w:color w:val="222222"/>
          <w:sz w:val="24"/>
          <w:szCs w:val="24"/>
          <w:shd w:val="clear" w:color="auto" w:fill="FFFFFF"/>
        </w:rPr>
        <w:t>32</w:t>
      </w:r>
      <w:r w:rsidRPr="00C20D53">
        <w:rPr>
          <w:rFonts w:ascii="Times New Roman" w:hAnsi="Times New Roman" w:cs="Times New Roman"/>
          <w:color w:val="222222"/>
          <w:sz w:val="24"/>
          <w:szCs w:val="24"/>
          <w:shd w:val="clear" w:color="auto" w:fill="FFFFFF"/>
        </w:rPr>
        <w:t>(3), 195-214.</w:t>
      </w:r>
    </w:p>
    <w:p w:rsidR="00AB3B53" w:rsidRPr="00C20D53" w:rsidRDefault="00AB3B53" w:rsidP="00C20D53">
      <w:pPr>
        <w:spacing w:line="480" w:lineRule="auto"/>
        <w:ind w:left="720" w:hanging="720"/>
        <w:rPr>
          <w:rFonts w:ascii="Times New Roman" w:hAnsi="Times New Roman" w:cs="Times New Roman"/>
          <w:color w:val="222222"/>
          <w:sz w:val="24"/>
          <w:szCs w:val="24"/>
          <w:shd w:val="clear" w:color="auto" w:fill="FFFFFF"/>
        </w:rPr>
      </w:pPr>
      <w:r w:rsidRPr="00C20D53">
        <w:rPr>
          <w:rFonts w:ascii="Times New Roman" w:hAnsi="Times New Roman" w:cs="Times New Roman"/>
          <w:color w:val="222222"/>
          <w:sz w:val="24"/>
          <w:szCs w:val="24"/>
          <w:shd w:val="clear" w:color="auto" w:fill="FFFFFF"/>
        </w:rPr>
        <w:t>Olson, E. M., Slater, S. F., Hult, G. T. M., &amp; Olson, K. M. (2018). The application of human resource management policies within the marketing organization: The impact on business and marketing strategy implementation. </w:t>
      </w:r>
      <w:r w:rsidRPr="00C20D53">
        <w:rPr>
          <w:rFonts w:ascii="Times New Roman" w:hAnsi="Times New Roman" w:cs="Times New Roman"/>
          <w:i/>
          <w:iCs/>
          <w:color w:val="222222"/>
          <w:sz w:val="24"/>
          <w:szCs w:val="24"/>
          <w:shd w:val="clear" w:color="auto" w:fill="FFFFFF"/>
        </w:rPr>
        <w:t>Industrial Marketing Management</w:t>
      </w:r>
      <w:r w:rsidRPr="00C20D53">
        <w:rPr>
          <w:rFonts w:ascii="Times New Roman" w:hAnsi="Times New Roman" w:cs="Times New Roman"/>
          <w:color w:val="222222"/>
          <w:sz w:val="24"/>
          <w:szCs w:val="24"/>
          <w:shd w:val="clear" w:color="auto" w:fill="FFFFFF"/>
        </w:rPr>
        <w:t>, </w:t>
      </w:r>
      <w:r w:rsidRPr="00C20D53">
        <w:rPr>
          <w:rFonts w:ascii="Times New Roman" w:hAnsi="Times New Roman" w:cs="Times New Roman"/>
          <w:i/>
          <w:iCs/>
          <w:color w:val="222222"/>
          <w:sz w:val="24"/>
          <w:szCs w:val="24"/>
          <w:shd w:val="clear" w:color="auto" w:fill="FFFFFF"/>
        </w:rPr>
        <w:t>69</w:t>
      </w:r>
      <w:r w:rsidRPr="00C20D53">
        <w:rPr>
          <w:rFonts w:ascii="Times New Roman" w:hAnsi="Times New Roman" w:cs="Times New Roman"/>
          <w:color w:val="222222"/>
          <w:sz w:val="24"/>
          <w:szCs w:val="24"/>
          <w:shd w:val="clear" w:color="auto" w:fill="FFFFFF"/>
        </w:rPr>
        <w:t>, 62-73.</w:t>
      </w:r>
    </w:p>
    <w:p w:rsidR="00AC67D9" w:rsidRPr="00C20D53" w:rsidRDefault="00AB3B53" w:rsidP="00C20D53">
      <w:pPr>
        <w:spacing w:line="480" w:lineRule="auto"/>
        <w:ind w:left="720" w:hanging="720"/>
        <w:rPr>
          <w:rFonts w:ascii="Times New Roman" w:hAnsi="Times New Roman" w:cs="Times New Roman"/>
          <w:sz w:val="24"/>
          <w:szCs w:val="24"/>
        </w:rPr>
      </w:pPr>
      <w:r w:rsidRPr="00C20D53">
        <w:rPr>
          <w:rFonts w:ascii="Times New Roman" w:hAnsi="Times New Roman" w:cs="Times New Roman"/>
          <w:color w:val="222222"/>
          <w:sz w:val="24"/>
          <w:szCs w:val="24"/>
          <w:shd w:val="clear" w:color="auto" w:fill="FFFFFF"/>
        </w:rPr>
        <w:t>Zaharee, M., Lipkie, T., Mehlman, S. K., &amp;Neylon, S. K. (2018). Recruitment and Retention of Early-Career Technical Talent: What Young Employees Want from Employers A study of the workplace attributes that attract early-career workers suggests that Millennials may not be so different from earlier generations. </w:t>
      </w:r>
      <w:r w:rsidRPr="00C20D53">
        <w:rPr>
          <w:rFonts w:ascii="Times New Roman" w:hAnsi="Times New Roman" w:cs="Times New Roman"/>
          <w:i/>
          <w:iCs/>
          <w:color w:val="222222"/>
          <w:sz w:val="24"/>
          <w:szCs w:val="24"/>
          <w:shd w:val="clear" w:color="auto" w:fill="FFFFFF"/>
        </w:rPr>
        <w:t>Research-Technology Management</w:t>
      </w:r>
      <w:r w:rsidRPr="00C20D53">
        <w:rPr>
          <w:rFonts w:ascii="Times New Roman" w:hAnsi="Times New Roman" w:cs="Times New Roman"/>
          <w:color w:val="222222"/>
          <w:sz w:val="24"/>
          <w:szCs w:val="24"/>
          <w:shd w:val="clear" w:color="auto" w:fill="FFFFFF"/>
        </w:rPr>
        <w:t>, </w:t>
      </w:r>
      <w:r w:rsidRPr="00C20D53">
        <w:rPr>
          <w:rFonts w:ascii="Times New Roman" w:hAnsi="Times New Roman" w:cs="Times New Roman"/>
          <w:i/>
          <w:iCs/>
          <w:color w:val="222222"/>
          <w:sz w:val="24"/>
          <w:szCs w:val="24"/>
          <w:shd w:val="clear" w:color="auto" w:fill="FFFFFF"/>
        </w:rPr>
        <w:t>61</w:t>
      </w:r>
      <w:r w:rsidRPr="00C20D53">
        <w:rPr>
          <w:rFonts w:ascii="Times New Roman" w:hAnsi="Times New Roman" w:cs="Times New Roman"/>
          <w:color w:val="222222"/>
          <w:sz w:val="24"/>
          <w:szCs w:val="24"/>
          <w:shd w:val="clear" w:color="auto" w:fill="FFFFFF"/>
        </w:rPr>
        <w:t>(5), 51-61.</w:t>
      </w:r>
    </w:p>
    <w:sectPr w:rsidR="00AC67D9" w:rsidRPr="00C20D53" w:rsidSect="00200F8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E3C" w:rsidRDefault="00BF5E3C" w:rsidP="004C01D0">
      <w:pPr>
        <w:spacing w:before="0" w:after="0"/>
      </w:pPr>
      <w:r>
        <w:separator/>
      </w:r>
    </w:p>
  </w:endnote>
  <w:endnote w:type="continuationSeparator" w:id="1">
    <w:p w:rsidR="00BF5E3C" w:rsidRDefault="00BF5E3C" w:rsidP="004C01D0">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E3C" w:rsidRDefault="00BF5E3C" w:rsidP="004C01D0">
      <w:pPr>
        <w:spacing w:before="0" w:after="0"/>
      </w:pPr>
      <w:r>
        <w:separator/>
      </w:r>
    </w:p>
  </w:footnote>
  <w:footnote w:type="continuationSeparator" w:id="1">
    <w:p w:rsidR="00BF5E3C" w:rsidRDefault="00BF5E3C" w:rsidP="004C01D0">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2713158"/>
      <w:docPartObj>
        <w:docPartGallery w:val="Page Numbers (Top of Page)"/>
        <w:docPartUnique/>
      </w:docPartObj>
    </w:sdtPr>
    <w:sdtEndPr>
      <w:rPr>
        <w:noProof/>
      </w:rPr>
    </w:sdtEndPr>
    <w:sdtContent>
      <w:p w:rsidR="004C01D0" w:rsidRDefault="00674900">
        <w:pPr>
          <w:pStyle w:val="Header"/>
          <w:jc w:val="right"/>
        </w:pPr>
        <w:r w:rsidRPr="00BC6E46">
          <w:rPr>
            <w:rFonts w:ascii="Times New Roman" w:hAnsi="Times New Roman" w:cs="Times New Roman"/>
            <w:sz w:val="24"/>
            <w:szCs w:val="24"/>
          </w:rPr>
          <w:fldChar w:fldCharType="begin"/>
        </w:r>
        <w:r w:rsidR="004C01D0" w:rsidRPr="00BC6E46">
          <w:rPr>
            <w:rFonts w:ascii="Times New Roman" w:hAnsi="Times New Roman" w:cs="Times New Roman"/>
            <w:sz w:val="24"/>
            <w:szCs w:val="24"/>
          </w:rPr>
          <w:instrText xml:space="preserve"> PAGE   \* MERGEFORMAT </w:instrText>
        </w:r>
        <w:r w:rsidRPr="00BC6E46">
          <w:rPr>
            <w:rFonts w:ascii="Times New Roman" w:hAnsi="Times New Roman" w:cs="Times New Roman"/>
            <w:sz w:val="24"/>
            <w:szCs w:val="24"/>
          </w:rPr>
          <w:fldChar w:fldCharType="separate"/>
        </w:r>
        <w:r w:rsidR="00BC6E46">
          <w:rPr>
            <w:rFonts w:ascii="Times New Roman" w:hAnsi="Times New Roman" w:cs="Times New Roman"/>
            <w:noProof/>
            <w:sz w:val="24"/>
            <w:szCs w:val="24"/>
          </w:rPr>
          <w:t>9</w:t>
        </w:r>
        <w:r w:rsidRPr="00BC6E46">
          <w:rPr>
            <w:rFonts w:ascii="Times New Roman" w:hAnsi="Times New Roman" w:cs="Times New Roman"/>
            <w:noProof/>
            <w:sz w:val="24"/>
            <w:szCs w:val="24"/>
          </w:rPr>
          <w:fldChar w:fldCharType="end"/>
        </w:r>
      </w:p>
    </w:sdtContent>
  </w:sdt>
  <w:p w:rsidR="004C01D0" w:rsidRDefault="004C01D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0B96"/>
    <w:multiLevelType w:val="hybridMultilevel"/>
    <w:tmpl w:val="6B3EA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753F00"/>
    <w:multiLevelType w:val="hybridMultilevel"/>
    <w:tmpl w:val="3EE67C5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9E5113"/>
    <w:multiLevelType w:val="hybridMultilevel"/>
    <w:tmpl w:val="28246678"/>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2B73E9"/>
    <w:multiLevelType w:val="hybridMultilevel"/>
    <w:tmpl w:val="07106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3D6CC2"/>
    <w:multiLevelType w:val="hybridMultilevel"/>
    <w:tmpl w:val="69F2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F85C22"/>
    <w:multiLevelType w:val="hybridMultilevel"/>
    <w:tmpl w:val="9524F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8E23D5"/>
    <w:multiLevelType w:val="multilevel"/>
    <w:tmpl w:val="B2E4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B6029C"/>
    <w:multiLevelType w:val="hybridMultilevel"/>
    <w:tmpl w:val="7DE67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A1317B"/>
    <w:multiLevelType w:val="multilevel"/>
    <w:tmpl w:val="1030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A30F3E"/>
    <w:multiLevelType w:val="hybridMultilevel"/>
    <w:tmpl w:val="0EE26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267CF0"/>
    <w:multiLevelType w:val="multilevel"/>
    <w:tmpl w:val="B7BE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6D029B"/>
    <w:multiLevelType w:val="hybridMultilevel"/>
    <w:tmpl w:val="32509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AA339D"/>
    <w:multiLevelType w:val="hybridMultilevel"/>
    <w:tmpl w:val="88886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5E1F9A"/>
    <w:multiLevelType w:val="multilevel"/>
    <w:tmpl w:val="1620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3775E7"/>
    <w:multiLevelType w:val="hybridMultilevel"/>
    <w:tmpl w:val="C890C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19634C"/>
    <w:multiLevelType w:val="hybridMultilevel"/>
    <w:tmpl w:val="6046D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745883"/>
    <w:multiLevelType w:val="hybridMultilevel"/>
    <w:tmpl w:val="AD68F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9C1E35"/>
    <w:multiLevelType w:val="hybridMultilevel"/>
    <w:tmpl w:val="FB988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9C3304"/>
    <w:multiLevelType w:val="hybridMultilevel"/>
    <w:tmpl w:val="25B85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3D670F"/>
    <w:multiLevelType w:val="hybridMultilevel"/>
    <w:tmpl w:val="F7B44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AA0211C"/>
    <w:multiLevelType w:val="multilevel"/>
    <w:tmpl w:val="AA04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BF079DB"/>
    <w:multiLevelType w:val="hybridMultilevel"/>
    <w:tmpl w:val="1878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5"/>
  </w:num>
  <w:num w:numId="3">
    <w:abstractNumId w:val="0"/>
  </w:num>
  <w:num w:numId="4">
    <w:abstractNumId w:val="2"/>
  </w:num>
  <w:num w:numId="5">
    <w:abstractNumId w:val="20"/>
  </w:num>
  <w:num w:numId="6">
    <w:abstractNumId w:val="8"/>
  </w:num>
  <w:num w:numId="7">
    <w:abstractNumId w:val="16"/>
  </w:num>
  <w:num w:numId="8">
    <w:abstractNumId w:val="12"/>
  </w:num>
  <w:num w:numId="9">
    <w:abstractNumId w:val="3"/>
  </w:num>
  <w:num w:numId="10">
    <w:abstractNumId w:val="11"/>
  </w:num>
  <w:num w:numId="11">
    <w:abstractNumId w:val="5"/>
  </w:num>
  <w:num w:numId="12">
    <w:abstractNumId w:val="14"/>
  </w:num>
  <w:num w:numId="13">
    <w:abstractNumId w:val="1"/>
  </w:num>
  <w:num w:numId="14">
    <w:abstractNumId w:val="17"/>
  </w:num>
  <w:num w:numId="15">
    <w:abstractNumId w:val="6"/>
  </w:num>
  <w:num w:numId="16">
    <w:abstractNumId w:val="10"/>
  </w:num>
  <w:num w:numId="17">
    <w:abstractNumId w:val="21"/>
  </w:num>
  <w:num w:numId="18">
    <w:abstractNumId w:val="7"/>
  </w:num>
  <w:num w:numId="19">
    <w:abstractNumId w:val="19"/>
  </w:num>
  <w:num w:numId="20">
    <w:abstractNumId w:val="9"/>
  </w:num>
  <w:num w:numId="21">
    <w:abstractNumId w:val="18"/>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4098"/>
  </w:hdrShapeDefaults>
  <w:footnotePr>
    <w:footnote w:id="0"/>
    <w:footnote w:id="1"/>
  </w:footnotePr>
  <w:endnotePr>
    <w:endnote w:id="0"/>
    <w:endnote w:id="1"/>
  </w:endnotePr>
  <w:compat/>
  <w:rsids>
    <w:rsidRoot w:val="00C93120"/>
    <w:rsid w:val="000D5D70"/>
    <w:rsid w:val="000D690B"/>
    <w:rsid w:val="00110740"/>
    <w:rsid w:val="00111A6D"/>
    <w:rsid w:val="001332FE"/>
    <w:rsid w:val="00185D75"/>
    <w:rsid w:val="001C0A55"/>
    <w:rsid w:val="00200F89"/>
    <w:rsid w:val="00311CB4"/>
    <w:rsid w:val="00342426"/>
    <w:rsid w:val="00367779"/>
    <w:rsid w:val="00383E7A"/>
    <w:rsid w:val="003D5373"/>
    <w:rsid w:val="0042199E"/>
    <w:rsid w:val="004374B7"/>
    <w:rsid w:val="004C01D0"/>
    <w:rsid w:val="00531E97"/>
    <w:rsid w:val="005C4D02"/>
    <w:rsid w:val="005F0EBD"/>
    <w:rsid w:val="005F53B8"/>
    <w:rsid w:val="005F72F0"/>
    <w:rsid w:val="00620840"/>
    <w:rsid w:val="006319BE"/>
    <w:rsid w:val="00674900"/>
    <w:rsid w:val="006769B9"/>
    <w:rsid w:val="0073610C"/>
    <w:rsid w:val="007477A9"/>
    <w:rsid w:val="00782C27"/>
    <w:rsid w:val="007B0513"/>
    <w:rsid w:val="00867AE4"/>
    <w:rsid w:val="0096224A"/>
    <w:rsid w:val="00965DA3"/>
    <w:rsid w:val="00A55C69"/>
    <w:rsid w:val="00AB3B53"/>
    <w:rsid w:val="00AC3E1B"/>
    <w:rsid w:val="00AC67D9"/>
    <w:rsid w:val="00B62C9C"/>
    <w:rsid w:val="00B72538"/>
    <w:rsid w:val="00BC6E46"/>
    <w:rsid w:val="00BF5E3C"/>
    <w:rsid w:val="00C20D53"/>
    <w:rsid w:val="00C86EB0"/>
    <w:rsid w:val="00C91C46"/>
    <w:rsid w:val="00C91FE9"/>
    <w:rsid w:val="00C93120"/>
    <w:rsid w:val="00CA09C4"/>
    <w:rsid w:val="00D109A4"/>
    <w:rsid w:val="00E56877"/>
    <w:rsid w:val="00EA0991"/>
    <w:rsid w:val="00EE7A4D"/>
    <w:rsid w:val="00F60927"/>
    <w:rsid w:val="00F660AE"/>
    <w:rsid w:val="00F9079F"/>
    <w:rsid w:val="00FB1E71"/>
    <w:rsid w:val="00FB51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F89"/>
  </w:style>
  <w:style w:type="paragraph" w:styleId="Heading1">
    <w:name w:val="heading 1"/>
    <w:basedOn w:val="Normal"/>
    <w:link w:val="Heading1Char"/>
    <w:uiPriority w:val="9"/>
    <w:qFormat/>
    <w:rsid w:val="003D5373"/>
    <w:pPr>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AC3E1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C3E1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0AE"/>
    <w:pPr>
      <w:ind w:left="720"/>
      <w:contextualSpacing/>
    </w:pPr>
  </w:style>
  <w:style w:type="character" w:styleId="Hyperlink">
    <w:name w:val="Hyperlink"/>
    <w:basedOn w:val="DefaultParagraphFont"/>
    <w:uiPriority w:val="99"/>
    <w:semiHidden/>
    <w:unhideWhenUsed/>
    <w:rsid w:val="00EE7A4D"/>
    <w:rPr>
      <w:color w:val="0000FF"/>
      <w:u w:val="single"/>
    </w:rPr>
  </w:style>
  <w:style w:type="character" w:customStyle="1" w:styleId="Heading1Char">
    <w:name w:val="Heading 1 Char"/>
    <w:basedOn w:val="DefaultParagraphFont"/>
    <w:link w:val="Heading1"/>
    <w:uiPriority w:val="9"/>
    <w:rsid w:val="003D537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AC3E1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C3E1B"/>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4C01D0"/>
    <w:pPr>
      <w:tabs>
        <w:tab w:val="center" w:pos="4680"/>
        <w:tab w:val="right" w:pos="9360"/>
      </w:tabs>
      <w:spacing w:before="0" w:after="0"/>
    </w:pPr>
  </w:style>
  <w:style w:type="character" w:customStyle="1" w:styleId="HeaderChar">
    <w:name w:val="Header Char"/>
    <w:basedOn w:val="DefaultParagraphFont"/>
    <w:link w:val="Header"/>
    <w:uiPriority w:val="99"/>
    <w:rsid w:val="004C01D0"/>
  </w:style>
  <w:style w:type="paragraph" w:styleId="Footer">
    <w:name w:val="footer"/>
    <w:basedOn w:val="Normal"/>
    <w:link w:val="FooterChar"/>
    <w:uiPriority w:val="99"/>
    <w:unhideWhenUsed/>
    <w:rsid w:val="004C01D0"/>
    <w:pPr>
      <w:tabs>
        <w:tab w:val="center" w:pos="4680"/>
        <w:tab w:val="right" w:pos="9360"/>
      </w:tabs>
      <w:spacing w:before="0" w:after="0"/>
    </w:pPr>
  </w:style>
  <w:style w:type="character" w:customStyle="1" w:styleId="FooterChar">
    <w:name w:val="Footer Char"/>
    <w:basedOn w:val="DefaultParagraphFont"/>
    <w:link w:val="Footer"/>
    <w:uiPriority w:val="99"/>
    <w:rsid w:val="004C01D0"/>
  </w:style>
  <w:style w:type="table" w:styleId="TableGrid">
    <w:name w:val="Table Grid"/>
    <w:basedOn w:val="TableNormal"/>
    <w:uiPriority w:val="39"/>
    <w:rsid w:val="00AB3B53"/>
    <w:pPr>
      <w:spacing w:before="0" w:beforeAutospacing="0" w:after="0" w:afterAutospacing="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0700303">
      <w:bodyDiv w:val="1"/>
      <w:marLeft w:val="0"/>
      <w:marRight w:val="0"/>
      <w:marTop w:val="0"/>
      <w:marBottom w:val="0"/>
      <w:divBdr>
        <w:top w:val="none" w:sz="0" w:space="0" w:color="auto"/>
        <w:left w:val="none" w:sz="0" w:space="0" w:color="auto"/>
        <w:bottom w:val="none" w:sz="0" w:space="0" w:color="auto"/>
        <w:right w:val="none" w:sz="0" w:space="0" w:color="auto"/>
      </w:divBdr>
    </w:div>
    <w:div w:id="703485801">
      <w:bodyDiv w:val="1"/>
      <w:marLeft w:val="0"/>
      <w:marRight w:val="0"/>
      <w:marTop w:val="0"/>
      <w:marBottom w:val="0"/>
      <w:divBdr>
        <w:top w:val="none" w:sz="0" w:space="0" w:color="auto"/>
        <w:left w:val="none" w:sz="0" w:space="0" w:color="auto"/>
        <w:bottom w:val="none" w:sz="0" w:space="0" w:color="auto"/>
        <w:right w:val="none" w:sz="0" w:space="0" w:color="auto"/>
      </w:divBdr>
    </w:div>
    <w:div w:id="1350639607">
      <w:bodyDiv w:val="1"/>
      <w:marLeft w:val="0"/>
      <w:marRight w:val="0"/>
      <w:marTop w:val="0"/>
      <w:marBottom w:val="0"/>
      <w:divBdr>
        <w:top w:val="none" w:sz="0" w:space="0" w:color="auto"/>
        <w:left w:val="none" w:sz="0" w:space="0" w:color="auto"/>
        <w:bottom w:val="none" w:sz="0" w:space="0" w:color="auto"/>
        <w:right w:val="none" w:sz="0" w:space="0" w:color="auto"/>
      </w:divBdr>
    </w:div>
    <w:div w:id="1555459328">
      <w:bodyDiv w:val="1"/>
      <w:marLeft w:val="0"/>
      <w:marRight w:val="0"/>
      <w:marTop w:val="0"/>
      <w:marBottom w:val="0"/>
      <w:divBdr>
        <w:top w:val="none" w:sz="0" w:space="0" w:color="auto"/>
        <w:left w:val="none" w:sz="0" w:space="0" w:color="auto"/>
        <w:bottom w:val="none" w:sz="0" w:space="0" w:color="auto"/>
        <w:right w:val="none" w:sz="0" w:space="0" w:color="auto"/>
      </w:divBdr>
    </w:div>
    <w:div w:id="193154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1660</Words>
  <Characters>9464</Characters>
  <Application>Microsoft Office Word</Application>
  <DocSecurity>0</DocSecurity>
  <Lines>78</Lines>
  <Paragraphs>22</Paragraphs>
  <ScaleCrop>false</ScaleCrop>
  <LinksUpToDate>false</LinksUpToDate>
  <CharactersWithSpaces>11102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2021-10-18T18:17:00Z</dcterms:created>
  <dcterms:modified xsi:type="dcterms:W3CDTF">2021-10-18T18:17:00Z</dcterms:modified>
</cp:coreProperties>
</file>